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br/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t>31</w:t>
      </w:r>
      <w:r>
        <w:rPr>
          <w:rFonts w:eastAsia="Times New Roman" w:cs="Times New Roman" w:ascii="Times New Roman" w:hAnsi="Times New Roman"/>
          <w:b w:val="false"/>
          <w:bCs w:val="false"/>
          <w:sz w:val="30"/>
          <w:szCs w:val="30"/>
        </w:rPr>
        <w:t>.10.2025</w:t>
      </w:r>
    </w:p>
    <w:p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и на сайте Управления</w:t>
      </w:r>
    </w:p>
    <w:p>
      <w:pPr>
        <w:pStyle w:val="Normal"/>
        <w:spacing w:lineRule="auto" w:line="240" w:before="0" w:after="0"/>
        <w:ind w:firstLine="709"/>
        <w:jc w:val="center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lef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Новая глава в Земельном кодексе - «Виды разрешенного использования земельных участков»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Сфера земельных отношений и недвижимости в России продолжает активно трансформироваться в 2025 - 2026 гг. 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Управление Росреестра по Алтайскому краю информирует, что 1 марта 2026 года вступает в силу Федеральный закон от 31.07.2025 № 295-ФЗ «О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Федерации».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Изменения, вносимые данным Федеральным законом в ряд законодательных актов (прежде всего, в Земельный и Градостроительный кодексы), призваны служить цели регулирования видов разрешенного использования и регламентов использования земель.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Федеральный закон № 295-ФЗ вводит новую главу II.1 в Земельный кодекс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- «Виды разрешенного использования земельных участков», в которой впервые на законодательном уровне устанавливается понятие «вида разрешенного использования земельного участка».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Так, в соответствии с п. 1 ст. 14.1 ЗК РФ (в ред. Федерального закона № 295-ФЗ), вид разрешенного использования земельного участка представляет собой вид деятельности, которую с учетом ограничений, установленных в соответствии с настоящим Кодексом, другими федеральными законами, допускается осуществлять на земельном участке, а также над и под его поверхностью, если иное не предусмотрено настоящим Кодексом, другими федеральными законами.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Также в новой главе впервые закрепляется тезис о том, что вид разрешенного использования зданий и сооружений должен соответствовать виду разрешенного использования участка (п. 7 ст. 14.1 ЗК РФ в ред. Федерального закона № 295-ФЗ).</w:t>
      </w:r>
    </w:p>
    <w:p>
      <w:pPr>
        <w:pStyle w:val="Normal"/>
        <w:spacing w:lineRule="auto" w:line="240" w:before="0" w:afterAutospacing="0" w:after="0"/>
        <w:ind w:firstLine="709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 xml:space="preserve">Новым законом урегулируются и иные немаловажные вопросы сферы земельных отношений, так или иначе связанные с видами разрешенного использования земельных участков. Например, будет предусмотрена возможность объединения и перераспределения земельных участков с различными видами разрешенного использования (п. 6 ст. 11.11 ЗК РФ); будет предусмотрена возможность установления для участков, предназначенных для эксплуатации правомерно возведенных объектов капитального строительства, видов разрешенного использования, не предусмотренных правилами землепользования и застройки; прямо указывается, что арендатор участка не вправе выбирать иной вид разрешенного использования земельного участка, чем предусмотренный договором аренды земельного участка (п. 3 ст. 14.4 ЗК РФ) и так дальше. Аа – аа 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14:ligatures w14:val="none"/>
        </w:rPr>
        <w:t>Ознакомиться с полным текстом документа можно на официальном интернет-портале правовой информации http://pravo.gov.ru</w:t>
      </w:r>
      <w:r>
        <w:rPr>
          <w:rStyle w:val="FootnoteReference"/>
          <w:rFonts w:eastAsia="Times New Roman" w:cs="Times New Roman" w:ascii="Times New Roman" w:hAnsi="Times New Roman"/>
          <w:color w:val="000000"/>
          <w:sz w:val="28"/>
          <w:szCs w:val="28"/>
          <w14:ligatures w14:val="none"/>
        </w:rPr>
        <w:footnoteReference w:id="2"/>
      </w:r>
      <w:r>
        <w:rPr>
          <w:rFonts w:eastAsia="Times New Roman" w:cs="Times New Roman" w:ascii="Times New Roman" w:hAnsi="Times New Roman"/>
          <w:color w:val="000000"/>
          <w:sz w:val="28"/>
          <w:szCs w:val="28"/>
          <w14:ligatures w14:val="none"/>
        </w:rPr>
        <w:t>.</w:t>
      </w:r>
    </w:p>
    <w:p>
      <w:pPr>
        <w:pStyle w:val="Normal"/>
        <w:pBdr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14:ligatures w14:val="none"/>
        </w:rPr>
      </w:r>
    </w:p>
    <w:p>
      <w:pPr>
        <w:pStyle w:val="Normal"/>
        <w:pBdr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/>
        <w:drawing>
          <wp:inline distT="0" distB="0" distL="0" distR="0">
            <wp:extent cx="6240145" cy="624014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624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ooltip="mailto:22press_rosreestr@mail.ru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ooltip="http://www.rosreestr.gov.ru/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ooltip="https://dzen.ru/id/6392ad9bbc8b8d2fd42961a7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ooltip="https://vk.com/rosreestr_altaiskii_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ooltip="https://ok.ru/rosreestr22alt.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pBdr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14:ligatures w14:val="none"/>
        </w:rPr>
      </w:r>
    </w:p>
    <w:sectPr>
      <w:footnotePr>
        <w:numFmt w:val="decimal"/>
      </w:footnote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spacing w:before="0" w:after="40"/>
        <w:rPr>
          <w:rFonts w:ascii="Times New Roman" w:hAnsi="Times New Roman" w:cs="Times New Roman"/>
        </w:rPr>
      </w:pPr>
      <w:r>
        <w:rPr>
          <w:rStyle w:val="Style5"/>
        </w:rPr>
        <w:footnoteRef/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http://publication.pravo.gov.ru/document/0001202507310049</w:t>
      </w:r>
    </w:p>
  </w:footnote>
</w:footnote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/>
    </w:pPr>
    <w:rPr>
      <w:i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paragraph" w:styleId="ConsPlusNormal" w:customStyle="1">
    <w:name w:val="ConsPlusNormal"/>
    <w:uiPriority w:val="99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Times New Roman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0"/>
      <w:sz w:val="20"/>
      <w:szCs w:val="20"/>
      <w:u w:val="none"/>
      <w:vertAlign w:val="baseline"/>
      <w:lang w:val="ru-RU" w:eastAsia="ru-RU" w:bidi="ar-SA"/>
      <w14:ligatures w14:val="none"/>
    </w:rPr>
  </w:style>
  <w:style w:type="numbering" w:styleId="Style9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otnotes" Target="footnotes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LibreOffice/25.2.3.2$Linux_X86_64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2024-09-04T04:39:00Z</dcterms:created>
  <dc:creator>Сарафанова Анна Евгеньевна</dc:creator>
  <dc:description/>
  <dc:language>ru-RU</dc:language>
  <cp:lastModifiedBy/>
  <dcterms:modified xsi:type="dcterms:W3CDTF">2025-11-24T14:13:45Z</dcterms:modified>
  <cp:revision>14</cp:revision>
  <dc:subject/>
  <dc:title/>
</cp:coreProperties>
</file>